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Robertsfors kommunfullmäktige</w:t>
      </w:r>
    </w:p>
    <w:p>
      <w:pPr>
        <w:pStyle w:val="Heading1"/>
      </w:pPr>
      <w:r>
        <w:t xml:space="preserve">Utöka cykelvägar och kollektivtrafik i Robertsfors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Robertsfors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Kollektivtrafiken är begränsad och cykelvägar saknas mellan tätorter. Kommunens klimatstrategi 2022 pekar på behov av hållbara transporter.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Robertsfors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cykelväg mellan Robertsfors och Ånäset.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öka antalet bussavgångar på landsbygden.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cykelparkeringar vid skolor och arbetsplatser.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söka statliga medel för infrastrukturprojekt.</w:t>
      </w:r>
    </w:p>
    <w:p>
      <w:pPr>
        <w:spacing w:before="360"/>
      </w:pPr>
    </w:p>
    <w:p>
      <w:r>
        <w:t xml:space="preserve">Robertsfors,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Robertsfors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2026-07-14T04:55:14.928Z</dcterms:created>
  <dcterms:modified xsi:type="dcterms:W3CDTF">2026-07-14T04:55:14.928Z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